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9B0" w:rsidRDefault="00B038E1" w:rsidP="008F2C2B">
      <w:pPr>
        <w:spacing w:after="0" w:line="240" w:lineRule="auto"/>
        <w:jc w:val="both"/>
        <w:rPr>
          <w:rFonts w:ascii="Times New Roman" w:hAnsi="Times New Roman" w:cs="Times New Roman"/>
          <w:b/>
          <w:sz w:val="24"/>
        </w:rPr>
      </w:pPr>
      <w:r>
        <w:rPr>
          <w:rFonts w:ascii="Times New Roman" w:hAnsi="Times New Roman" w:cs="Times New Roman"/>
          <w:b/>
          <w:sz w:val="24"/>
        </w:rPr>
        <w:t>REFORMA DA PREVIDÊNCIA: ALGUNS COMENTÁRIOS SOBRE O RELATÓRIO DO SENADO E ESTADO ATUAL</w:t>
      </w:r>
    </w:p>
    <w:p w:rsidR="00D70BDF" w:rsidRDefault="00D70BDF" w:rsidP="008F2C2B">
      <w:pPr>
        <w:spacing w:after="0" w:line="240" w:lineRule="auto"/>
        <w:jc w:val="both"/>
        <w:rPr>
          <w:rFonts w:ascii="Times New Roman" w:hAnsi="Times New Roman" w:cs="Times New Roman"/>
          <w:b/>
          <w:sz w:val="24"/>
        </w:rPr>
      </w:pPr>
    </w:p>
    <w:p w:rsidR="00D70BDF" w:rsidRPr="00D70BDF" w:rsidRDefault="00D70BDF" w:rsidP="00D70BDF">
      <w:pPr>
        <w:spacing w:after="0" w:line="240" w:lineRule="auto"/>
        <w:jc w:val="right"/>
        <w:rPr>
          <w:rFonts w:ascii="Times New Roman" w:hAnsi="Times New Roman" w:cs="Times New Roman"/>
          <w:sz w:val="24"/>
        </w:rPr>
      </w:pPr>
      <w:r>
        <w:rPr>
          <w:rFonts w:ascii="Times New Roman" w:hAnsi="Times New Roman" w:cs="Times New Roman"/>
          <w:sz w:val="24"/>
        </w:rPr>
        <w:t>Subseção DIEESE/CUT-Nacional</w:t>
      </w:r>
      <w:r w:rsidR="000A6B2D">
        <w:rPr>
          <w:rStyle w:val="Refdenotaderodap"/>
          <w:rFonts w:ascii="Times New Roman" w:hAnsi="Times New Roman" w:cs="Times New Roman"/>
          <w:sz w:val="24"/>
        </w:rPr>
        <w:footnoteReference w:id="1"/>
      </w:r>
    </w:p>
    <w:p w:rsidR="00B038E1" w:rsidRDefault="00B038E1" w:rsidP="008F2C2B">
      <w:pPr>
        <w:spacing w:after="0" w:line="240" w:lineRule="auto"/>
        <w:jc w:val="both"/>
        <w:rPr>
          <w:rFonts w:ascii="Times New Roman" w:hAnsi="Times New Roman" w:cs="Times New Roman"/>
          <w:sz w:val="24"/>
        </w:rPr>
      </w:pPr>
    </w:p>
    <w:p w:rsidR="00B038E1" w:rsidRDefault="00B038E1" w:rsidP="008F2C2B">
      <w:pPr>
        <w:spacing w:after="0" w:line="240" w:lineRule="auto"/>
        <w:ind w:firstLine="708"/>
        <w:jc w:val="both"/>
        <w:rPr>
          <w:rFonts w:ascii="Times New Roman" w:hAnsi="Times New Roman" w:cs="Times New Roman"/>
          <w:sz w:val="24"/>
        </w:rPr>
      </w:pPr>
      <w:r w:rsidRPr="00B038E1">
        <w:rPr>
          <w:rFonts w:ascii="Times New Roman" w:hAnsi="Times New Roman" w:cs="Times New Roman"/>
          <w:sz w:val="24"/>
        </w:rPr>
        <w:t>Ontem, dia 27 de agosto de 2019</w:t>
      </w:r>
      <w:r>
        <w:rPr>
          <w:rFonts w:ascii="Times New Roman" w:hAnsi="Times New Roman" w:cs="Times New Roman"/>
          <w:sz w:val="24"/>
        </w:rPr>
        <w:t>,</w:t>
      </w:r>
      <w:r w:rsidRPr="00B038E1">
        <w:rPr>
          <w:rFonts w:ascii="Times New Roman" w:hAnsi="Times New Roman" w:cs="Times New Roman"/>
          <w:sz w:val="24"/>
        </w:rPr>
        <w:t xml:space="preserve"> foi apresentado pelo</w:t>
      </w:r>
      <w:r>
        <w:rPr>
          <w:rFonts w:ascii="Times New Roman" w:hAnsi="Times New Roman" w:cs="Times New Roman"/>
          <w:sz w:val="24"/>
        </w:rPr>
        <w:t xml:space="preserve"> senador Tasso Jereissati (PSDB-CE) o relatório produzido por ele referente à PEC 06/2019, mais conhecida como Reforma da Previdência, que o teve como relator do tema. </w:t>
      </w:r>
    </w:p>
    <w:p w:rsidR="00710F6C" w:rsidRDefault="00710F6C" w:rsidP="008F2C2B">
      <w:pPr>
        <w:spacing w:after="0" w:line="240" w:lineRule="auto"/>
        <w:ind w:firstLine="708"/>
        <w:jc w:val="both"/>
        <w:rPr>
          <w:rFonts w:ascii="Times New Roman" w:hAnsi="Times New Roman" w:cs="Times New Roman"/>
          <w:sz w:val="24"/>
        </w:rPr>
      </w:pPr>
      <w:r>
        <w:rPr>
          <w:rFonts w:ascii="Times New Roman" w:hAnsi="Times New Roman" w:cs="Times New Roman"/>
          <w:sz w:val="24"/>
        </w:rPr>
        <w:t>Conforme será visto posteriormente, o relator continua a apontar os servidores públicos, trabalhadores que se aposentam por tempo de contribuição e não idade, além daqueles que recebem mais que o piso</w:t>
      </w:r>
      <w:r w:rsidR="009E1500">
        <w:rPr>
          <w:rFonts w:ascii="Times New Roman" w:hAnsi="Times New Roman" w:cs="Times New Roman"/>
          <w:sz w:val="24"/>
        </w:rPr>
        <w:t>, de certa forma</w:t>
      </w:r>
      <w:r>
        <w:rPr>
          <w:rFonts w:ascii="Times New Roman" w:hAnsi="Times New Roman" w:cs="Times New Roman"/>
          <w:sz w:val="24"/>
        </w:rPr>
        <w:t xml:space="preserve"> como privilegiados. Continua a ignorar diferenças regionais e sociais, ao manter a idade mínima</w:t>
      </w:r>
      <w:r w:rsidR="00496156">
        <w:rPr>
          <w:rFonts w:ascii="Times New Roman" w:hAnsi="Times New Roman" w:cs="Times New Roman"/>
          <w:sz w:val="24"/>
        </w:rPr>
        <w:t xml:space="preserve">, além de não modificar as regras de transição, de prazo curto e que já rebaixam os valores das aposentadorias. Não modificou a regra de calculo do salário benefício (valor utilizado como base para calculo da aposentadoria) proposta pela câmara, o que representará uma queda no valor médio significativa para aqueles que ganham acima do salário mínimo e que se aposentaram após a reforma. </w:t>
      </w:r>
      <w:r w:rsidR="009E1500">
        <w:rPr>
          <w:rFonts w:ascii="Times New Roman" w:hAnsi="Times New Roman" w:cs="Times New Roman"/>
          <w:sz w:val="24"/>
        </w:rPr>
        <w:t>Não criou qualquer regra de transição para as pensões. Ignora que a previdência é a maior fonte de despesa, mas também de receita, além disso, ignorando que a mesma faz parte da seguridade social, não é algo isolado, inclusive também mantendo a separação contábil da saúde, previdência e assistência social.</w:t>
      </w:r>
    </w:p>
    <w:p w:rsidR="00710F6C" w:rsidRDefault="00B038E1" w:rsidP="008F2C2B">
      <w:pPr>
        <w:spacing w:after="0" w:line="240" w:lineRule="auto"/>
        <w:ind w:firstLine="708"/>
        <w:jc w:val="both"/>
        <w:rPr>
          <w:rFonts w:ascii="Times New Roman" w:hAnsi="Times New Roman" w:cs="Times New Roman"/>
          <w:sz w:val="24"/>
        </w:rPr>
      </w:pPr>
      <w:r>
        <w:rPr>
          <w:rFonts w:ascii="Times New Roman" w:hAnsi="Times New Roman" w:cs="Times New Roman"/>
          <w:sz w:val="24"/>
        </w:rPr>
        <w:t>Da mesma forma que o texto aprovado na câmara, o relator indica (opina) que sem essa reforma haverá uma crise fiscal sem precedentes, que pode comprometer o futuro do país, já que se trata de um contexto onde as receitas crescem (devido ao envelhecimento da população)</w:t>
      </w:r>
      <w:r w:rsidR="00C46027">
        <w:rPr>
          <w:rFonts w:ascii="Times New Roman" w:hAnsi="Times New Roman" w:cs="Times New Roman"/>
          <w:sz w:val="24"/>
        </w:rPr>
        <w:t xml:space="preserve"> e as receitas tem tido dificuldade de aumentar dada estagnação econômica, apontada por ele como resultado também da falta de espaço fiscal para gastos em investimento público dada representatividade do gasto previdenciário sobre o total. Coloca ainda que a reforma não resolverá sozinha todos os problemas, mas sem ela não haverá como se resolver nada, apontando que o quadro atual mostra que, ao contrário do que apregoa a constituição de 1988, o direito previdenciário, que não é universal por ser contributivo, se sobrepõe a outros como saúde e educação. </w:t>
      </w:r>
    </w:p>
    <w:p w:rsidR="00C46027" w:rsidRDefault="00710F6C" w:rsidP="008F2C2B">
      <w:pPr>
        <w:spacing w:after="0" w:line="240" w:lineRule="auto"/>
        <w:ind w:firstLine="708"/>
        <w:jc w:val="both"/>
        <w:rPr>
          <w:rFonts w:ascii="Times New Roman" w:hAnsi="Times New Roman" w:cs="Times New Roman"/>
          <w:sz w:val="24"/>
        </w:rPr>
      </w:pPr>
      <w:r>
        <w:rPr>
          <w:rFonts w:ascii="Times New Roman" w:hAnsi="Times New Roman" w:cs="Times New Roman"/>
          <w:sz w:val="24"/>
        </w:rPr>
        <w:t>O relator ainda a</w:t>
      </w:r>
      <w:r w:rsidR="00C46027">
        <w:rPr>
          <w:rFonts w:ascii="Times New Roman" w:hAnsi="Times New Roman" w:cs="Times New Roman"/>
          <w:sz w:val="24"/>
        </w:rPr>
        <w:t>ponta déficits anuais da ordem de R$ 200 bilhões ao ano no regime geral e R$ 100 bilhões no regime próprio</w:t>
      </w:r>
      <w:r>
        <w:rPr>
          <w:rFonts w:ascii="Times New Roman" w:hAnsi="Times New Roman" w:cs="Times New Roman"/>
          <w:sz w:val="24"/>
        </w:rPr>
        <w:t>, o que mostra a necessidade da reforma</w:t>
      </w:r>
      <w:r w:rsidR="00C46027">
        <w:rPr>
          <w:rFonts w:ascii="Times New Roman" w:hAnsi="Times New Roman" w:cs="Times New Roman"/>
          <w:sz w:val="24"/>
        </w:rPr>
        <w:t>. Estima que a reforma da previdência possa gerar algo como R$ 990 bilhões de gastos a menos em 10 anos, que poderiam ainda ser maiores com a inclusão de estados e municípios (mais R$ 350 bilhões em 10 anos).</w:t>
      </w:r>
      <w:r>
        <w:rPr>
          <w:rFonts w:ascii="Times New Roman" w:hAnsi="Times New Roman" w:cs="Times New Roman"/>
          <w:sz w:val="24"/>
        </w:rPr>
        <w:t xml:space="preserve"> Afirma preservar os mais pobres na reforma, tratando funcionários públicos, e aqueles que ganham mais que o piso, de certa forma como “privilegiados”, onde o suposto “déficit” da previdência é financiado pel</w:t>
      </w:r>
      <w:r w:rsidR="001D2B2A">
        <w:rPr>
          <w:rFonts w:ascii="Times New Roman" w:hAnsi="Times New Roman" w:cs="Times New Roman"/>
          <w:sz w:val="24"/>
        </w:rPr>
        <w:t>a sociedade através de impostos</w:t>
      </w:r>
      <w:r>
        <w:rPr>
          <w:rFonts w:ascii="Times New Roman" w:hAnsi="Times New Roman" w:cs="Times New Roman"/>
          <w:sz w:val="24"/>
        </w:rPr>
        <w:t xml:space="preserve"> pagos especialmente pelos mais pobres e que em sua maioria não tem acesso ao sistema previdenciário. Afirma que os princípios pelos quais o sistema previdenciário devem se guiar são o equilíbrio financeiro e atuarial, da busca pelo pleno emprego e da “Regra de ouro” (não gastar mais em despesas com dívida do que com investimentos).</w:t>
      </w:r>
    </w:p>
    <w:p w:rsidR="008F2C2B" w:rsidRDefault="008F2C2B" w:rsidP="008F2C2B">
      <w:pPr>
        <w:spacing w:after="0" w:line="240" w:lineRule="auto"/>
        <w:ind w:firstLine="708"/>
        <w:jc w:val="both"/>
        <w:rPr>
          <w:rFonts w:ascii="Times New Roman" w:hAnsi="Times New Roman" w:cs="Times New Roman"/>
          <w:sz w:val="24"/>
        </w:rPr>
      </w:pPr>
      <w:r>
        <w:rPr>
          <w:rFonts w:ascii="Times New Roman" w:hAnsi="Times New Roman" w:cs="Times New Roman"/>
          <w:sz w:val="24"/>
        </w:rPr>
        <w:t>O relator acredita que, para maior celeridade da reforma, a inclusão de pontos poderia ser feita por uma PEC paralela, para que o conteúdo do texto que veio da câmara não seja alterado,</w:t>
      </w:r>
      <w:r w:rsidR="003F70D1">
        <w:rPr>
          <w:rFonts w:ascii="Times New Roman" w:hAnsi="Times New Roman" w:cs="Times New Roman"/>
          <w:sz w:val="24"/>
        </w:rPr>
        <w:t xml:space="preserve"> </w:t>
      </w:r>
      <w:r>
        <w:rPr>
          <w:rFonts w:ascii="Times New Roman" w:hAnsi="Times New Roman" w:cs="Times New Roman"/>
          <w:sz w:val="24"/>
        </w:rPr>
        <w:t>o que postergaria sua aprovação</w:t>
      </w:r>
      <w:r w:rsidR="003F70D1">
        <w:rPr>
          <w:rFonts w:ascii="Times New Roman" w:hAnsi="Times New Roman" w:cs="Times New Roman"/>
          <w:sz w:val="24"/>
        </w:rPr>
        <w:t>, sugerindo supressões no texto</w:t>
      </w:r>
      <w:r>
        <w:rPr>
          <w:rFonts w:ascii="Times New Roman" w:hAnsi="Times New Roman" w:cs="Times New Roman"/>
          <w:sz w:val="24"/>
        </w:rPr>
        <w:t xml:space="preserve">. Em relação ao relatório apresentado ontem, as principais </w:t>
      </w:r>
      <w:r w:rsidR="003F70D1">
        <w:rPr>
          <w:rFonts w:ascii="Times New Roman" w:hAnsi="Times New Roman" w:cs="Times New Roman"/>
          <w:sz w:val="24"/>
        </w:rPr>
        <w:t>supress</w:t>
      </w:r>
      <w:r>
        <w:rPr>
          <w:rFonts w:ascii="Times New Roman" w:hAnsi="Times New Roman" w:cs="Times New Roman"/>
          <w:sz w:val="24"/>
        </w:rPr>
        <w:t>ões foram:</w:t>
      </w:r>
    </w:p>
    <w:p w:rsidR="008F2C2B" w:rsidRDefault="003F70D1" w:rsidP="008F2C2B">
      <w:pPr>
        <w:pStyle w:val="PargrafodaLista"/>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rPr>
        <w:lastRenderedPageBreak/>
        <w:t>Retirada de qualquer mudança nos Benefícios de Prestação Continuada, inclusive de um dispositivo presente no texto que veio da câmara que constitucionalizava uma linha de corte para recebimento do BPC, que seria no máximo de um quarto de salário mínimo de renda domiciliar per capita;</w:t>
      </w:r>
    </w:p>
    <w:p w:rsidR="003F70D1" w:rsidRDefault="003F70D1" w:rsidP="008F2C2B">
      <w:pPr>
        <w:pStyle w:val="PargrafodaLista"/>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rPr>
        <w:t xml:space="preserve">Regra de transição para aposentadoria especial: mantém uma contagem de pontos para </w:t>
      </w:r>
      <w:r w:rsidR="004A7D44">
        <w:rPr>
          <w:rFonts w:ascii="Times New Roman" w:hAnsi="Times New Roman" w:cs="Times New Roman"/>
          <w:sz w:val="24"/>
        </w:rPr>
        <w:t>aqueles (</w:t>
      </w:r>
      <w:r>
        <w:rPr>
          <w:rFonts w:ascii="Times New Roman" w:hAnsi="Times New Roman" w:cs="Times New Roman"/>
          <w:sz w:val="24"/>
        </w:rPr>
        <w:t>as) que tem direito à aposentadoria especial (por exposição a riscos), mas retira o aumento de pontos que haveria na regra de transição, mantendo a pontuação (soma de idade e tempo de contribuição) fixa em todo período;</w:t>
      </w:r>
    </w:p>
    <w:p w:rsidR="003F70D1" w:rsidRPr="0038363E" w:rsidRDefault="003F70D1" w:rsidP="008F2C2B">
      <w:pPr>
        <w:pStyle w:val="PargrafodaLista"/>
        <w:numPr>
          <w:ilvl w:val="0"/>
          <w:numId w:val="2"/>
        </w:numPr>
        <w:spacing w:after="0" w:line="240" w:lineRule="auto"/>
        <w:jc w:val="both"/>
        <w:rPr>
          <w:rFonts w:ascii="Times New Roman" w:hAnsi="Times New Roman" w:cs="Times New Roman"/>
          <w:sz w:val="24"/>
        </w:rPr>
      </w:pPr>
      <w:r w:rsidRPr="0038363E">
        <w:rPr>
          <w:rFonts w:ascii="Times New Roman" w:hAnsi="Times New Roman" w:cs="Times New Roman"/>
          <w:sz w:val="24"/>
        </w:rPr>
        <w:t>Supressão do termo “no âmbito da união”, o que permit</w:t>
      </w:r>
      <w:r w:rsidR="005A247D" w:rsidRPr="0038363E">
        <w:rPr>
          <w:rFonts w:ascii="Times New Roman" w:hAnsi="Times New Roman" w:cs="Times New Roman"/>
          <w:sz w:val="24"/>
        </w:rPr>
        <w:t>iria</w:t>
      </w:r>
      <w:r w:rsidRPr="0038363E">
        <w:rPr>
          <w:rFonts w:ascii="Times New Roman" w:hAnsi="Times New Roman" w:cs="Times New Roman"/>
          <w:sz w:val="24"/>
        </w:rPr>
        <w:t xml:space="preserve"> espaço para instituição de contribuições extraordinárias para estados e municípios, em caso de défici</w:t>
      </w:r>
      <w:r w:rsidR="0038363E" w:rsidRPr="0038363E">
        <w:rPr>
          <w:rFonts w:ascii="Times New Roman" w:hAnsi="Times New Roman" w:cs="Times New Roman"/>
          <w:sz w:val="24"/>
        </w:rPr>
        <w:t xml:space="preserve">t atuarial dos regimes próprios. </w:t>
      </w:r>
      <w:r w:rsidR="005A247D" w:rsidRPr="0038363E">
        <w:rPr>
          <w:rFonts w:ascii="Times New Roman" w:hAnsi="Times New Roman" w:cs="Times New Roman"/>
          <w:sz w:val="24"/>
        </w:rPr>
        <w:t>Garantias para haver segurança jurídica para o financiamento dos regimes próprios;</w:t>
      </w:r>
    </w:p>
    <w:p w:rsidR="00F91276" w:rsidRDefault="00F91276" w:rsidP="005A247D">
      <w:pPr>
        <w:spacing w:after="0" w:line="240" w:lineRule="auto"/>
        <w:ind w:left="708"/>
        <w:jc w:val="both"/>
        <w:rPr>
          <w:rFonts w:ascii="Times New Roman" w:hAnsi="Times New Roman" w:cs="Times New Roman"/>
          <w:sz w:val="24"/>
        </w:rPr>
      </w:pPr>
    </w:p>
    <w:p w:rsidR="005A247D" w:rsidRDefault="005A247D" w:rsidP="005A247D">
      <w:pPr>
        <w:spacing w:after="0" w:line="240" w:lineRule="auto"/>
        <w:ind w:left="708"/>
        <w:jc w:val="both"/>
        <w:rPr>
          <w:rFonts w:ascii="Times New Roman" w:hAnsi="Times New Roman" w:cs="Times New Roman"/>
          <w:sz w:val="24"/>
        </w:rPr>
      </w:pPr>
      <w:r>
        <w:rPr>
          <w:rFonts w:ascii="Times New Roman" w:hAnsi="Times New Roman" w:cs="Times New Roman"/>
          <w:sz w:val="24"/>
        </w:rPr>
        <w:t>Os temas que entrariam pela “PEC paralela”</w:t>
      </w:r>
      <w:r w:rsidR="00574951">
        <w:rPr>
          <w:rFonts w:ascii="Times New Roman" w:hAnsi="Times New Roman" w:cs="Times New Roman"/>
          <w:sz w:val="24"/>
        </w:rPr>
        <w:t xml:space="preserve"> proposta pelo senador</w:t>
      </w:r>
      <w:r>
        <w:rPr>
          <w:rFonts w:ascii="Times New Roman" w:hAnsi="Times New Roman" w:cs="Times New Roman"/>
          <w:sz w:val="24"/>
        </w:rPr>
        <w:t xml:space="preserve"> seriam:</w:t>
      </w:r>
    </w:p>
    <w:p w:rsidR="005A247D" w:rsidRDefault="005A247D" w:rsidP="005A247D">
      <w:pPr>
        <w:pStyle w:val="PargrafodaLista"/>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Permissão para que os municípios e os estados possam adotar as mesmas regras do regime previdenciário próprio dos </w:t>
      </w:r>
      <w:r w:rsidR="004A7D44">
        <w:rPr>
          <w:rFonts w:ascii="Times New Roman" w:hAnsi="Times New Roman" w:cs="Times New Roman"/>
          <w:sz w:val="24"/>
        </w:rPr>
        <w:t>servidores (</w:t>
      </w:r>
      <w:r>
        <w:rPr>
          <w:rFonts w:ascii="Times New Roman" w:hAnsi="Times New Roman" w:cs="Times New Roman"/>
          <w:sz w:val="24"/>
        </w:rPr>
        <w:t xml:space="preserve">as) da União, mediante lei </w:t>
      </w:r>
      <w:r w:rsidRPr="005A247D">
        <w:rPr>
          <w:rFonts w:ascii="Times New Roman" w:hAnsi="Times New Roman" w:cs="Times New Roman"/>
          <w:b/>
          <w:sz w:val="24"/>
        </w:rPr>
        <w:t>ordinária</w:t>
      </w:r>
      <w:r>
        <w:rPr>
          <w:rFonts w:ascii="Times New Roman" w:hAnsi="Times New Roman" w:cs="Times New Roman"/>
          <w:sz w:val="24"/>
        </w:rPr>
        <w:t xml:space="preserve"> aprovada de iniciativa do poder executivo do respectivo ente;</w:t>
      </w:r>
    </w:p>
    <w:p w:rsidR="005A247D" w:rsidRDefault="005A247D" w:rsidP="005A247D">
      <w:pPr>
        <w:pStyle w:val="PargrafodaLista"/>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Garantia de que todos pensionistas recebam, no mínimo, um salário mínimo;</w:t>
      </w:r>
    </w:p>
    <w:p w:rsidR="005A247D" w:rsidRDefault="005A247D" w:rsidP="005A247D">
      <w:pPr>
        <w:pStyle w:val="PargrafodaLista"/>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Dobra do valor da cota, que passaria para 20%, na pensão por morte para os dependentes de até 18 anos;</w:t>
      </w:r>
    </w:p>
    <w:p w:rsidR="005A247D" w:rsidRDefault="005A247D" w:rsidP="005A247D">
      <w:pPr>
        <w:pStyle w:val="PargrafodaLista"/>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Manutenção do tempo mínimo de contribuição para 15 anos para homens que ainda não ingressaram no mercado de trabalho (o texto da câmara fala em 15 anos para mulheres, independente da condição, e 15 anos para homens que já estão no mercado de trabalho e 20 anos para os que vão ingressar);</w:t>
      </w:r>
    </w:p>
    <w:p w:rsidR="005A247D" w:rsidRDefault="005A247D" w:rsidP="005A247D">
      <w:pPr>
        <w:pStyle w:val="PargrafodaLista"/>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Calculo mais vantajoso para aposentadorias acidentárias;</w:t>
      </w:r>
    </w:p>
    <w:p w:rsidR="005A247D" w:rsidRDefault="005A247D" w:rsidP="005A247D">
      <w:pPr>
        <w:pStyle w:val="PargrafodaLista"/>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Reabertura do prazo para opção de ingresso no regime de previdência complementar dos servidores federais;</w:t>
      </w:r>
    </w:p>
    <w:p w:rsidR="005A247D" w:rsidRDefault="005A247D" w:rsidP="005A247D">
      <w:pPr>
        <w:pStyle w:val="PargrafodaLista"/>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Fim da isenção, com cobrança gradual, das contribuições de previdenciárias do agronegócio exportador, das entidades educacionais que são filantrópicas assim como de saúde, esta sem incluir Santas Casas e entidades assistenciais;</w:t>
      </w:r>
    </w:p>
    <w:p w:rsidR="005A247D" w:rsidRDefault="005A247D" w:rsidP="005A247D">
      <w:pPr>
        <w:pStyle w:val="PargrafodaLista"/>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Instituir no SIMPLES cobrança direcionada a investimentos em prevenção de acidentes de trabalho e proteção </w:t>
      </w:r>
      <w:r w:rsidR="00C66455">
        <w:rPr>
          <w:rFonts w:ascii="Times New Roman" w:hAnsi="Times New Roman" w:cs="Times New Roman"/>
          <w:sz w:val="24"/>
        </w:rPr>
        <w:t>contra exposição a agentes nocivos de saúde. Direcionada às micro e pequenas empresas;</w:t>
      </w:r>
    </w:p>
    <w:p w:rsidR="00F91276" w:rsidRDefault="00F91276" w:rsidP="00C66455">
      <w:pPr>
        <w:spacing w:after="0" w:line="240" w:lineRule="auto"/>
        <w:ind w:firstLine="708"/>
        <w:jc w:val="both"/>
        <w:rPr>
          <w:rFonts w:ascii="Times New Roman" w:hAnsi="Times New Roman" w:cs="Times New Roman"/>
          <w:sz w:val="24"/>
        </w:rPr>
      </w:pPr>
    </w:p>
    <w:p w:rsidR="00C66455" w:rsidRDefault="00C66455" w:rsidP="00C66455">
      <w:pPr>
        <w:spacing w:after="0" w:line="240" w:lineRule="auto"/>
        <w:ind w:firstLine="708"/>
        <w:jc w:val="both"/>
        <w:rPr>
          <w:rFonts w:ascii="Times New Roman" w:hAnsi="Times New Roman" w:cs="Times New Roman"/>
          <w:sz w:val="24"/>
        </w:rPr>
      </w:pPr>
      <w:r>
        <w:rPr>
          <w:rFonts w:ascii="Times New Roman" w:hAnsi="Times New Roman" w:cs="Times New Roman"/>
          <w:sz w:val="24"/>
        </w:rPr>
        <w:t>Conforme salientado anteriormente, o texto do relator ainda deixa muitos problemas:</w:t>
      </w:r>
    </w:p>
    <w:p w:rsidR="00C66455" w:rsidRDefault="00C66455" w:rsidP="00C66455">
      <w:pPr>
        <w:pStyle w:val="PargrafodaLista"/>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Acaba com a aposentadoria por tempo de contribuição, ignorando o início precoce de muitas pessoas no mercado de trabalho;</w:t>
      </w:r>
    </w:p>
    <w:p w:rsidR="00C66455" w:rsidRDefault="00C66455" w:rsidP="00C66455">
      <w:pPr>
        <w:pStyle w:val="PargrafodaLista"/>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Mantém idade mínima, ignorando</w:t>
      </w:r>
      <w:r w:rsidR="00F45491">
        <w:rPr>
          <w:rFonts w:ascii="Times New Roman" w:hAnsi="Times New Roman" w:cs="Times New Roman"/>
          <w:sz w:val="24"/>
        </w:rPr>
        <w:t xml:space="preserve"> diferenças regionais e sociais;</w:t>
      </w:r>
    </w:p>
    <w:p w:rsidR="00C66455" w:rsidRDefault="004A7D44" w:rsidP="00C66455">
      <w:pPr>
        <w:pStyle w:val="PargrafodaLista"/>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Mantêm</w:t>
      </w:r>
      <w:r w:rsidR="00C66455">
        <w:rPr>
          <w:rFonts w:ascii="Times New Roman" w:hAnsi="Times New Roman" w:cs="Times New Roman"/>
          <w:sz w:val="24"/>
        </w:rPr>
        <w:t xml:space="preserve"> </w:t>
      </w:r>
      <w:r>
        <w:rPr>
          <w:rFonts w:ascii="Times New Roman" w:hAnsi="Times New Roman" w:cs="Times New Roman"/>
          <w:sz w:val="24"/>
        </w:rPr>
        <w:t>servidores (</w:t>
      </w:r>
      <w:r w:rsidR="00C66455">
        <w:rPr>
          <w:rFonts w:ascii="Times New Roman" w:hAnsi="Times New Roman" w:cs="Times New Roman"/>
          <w:sz w:val="24"/>
        </w:rPr>
        <w:t xml:space="preserve">as) públicos, </w:t>
      </w:r>
      <w:r>
        <w:rPr>
          <w:rFonts w:ascii="Times New Roman" w:hAnsi="Times New Roman" w:cs="Times New Roman"/>
          <w:sz w:val="24"/>
        </w:rPr>
        <w:t>trabalhadores (</w:t>
      </w:r>
      <w:r w:rsidR="00C66455">
        <w:rPr>
          <w:rFonts w:ascii="Times New Roman" w:hAnsi="Times New Roman" w:cs="Times New Roman"/>
          <w:sz w:val="24"/>
        </w:rPr>
        <w:t>as) aposentados por tempo de contribuição e aqueles que recebem acima do salário mínimo como “privilegiados”</w:t>
      </w:r>
      <w:r w:rsidR="0038363E">
        <w:rPr>
          <w:rFonts w:ascii="Times New Roman" w:hAnsi="Times New Roman" w:cs="Times New Roman"/>
          <w:sz w:val="24"/>
        </w:rPr>
        <w:t>, impondo dificuldade de acesso, restrição a benefícios, assim como redução de valores;</w:t>
      </w:r>
    </w:p>
    <w:p w:rsidR="00F45491" w:rsidRDefault="00C66455" w:rsidP="00C66455">
      <w:pPr>
        <w:pStyle w:val="PargrafodaLista"/>
        <w:numPr>
          <w:ilvl w:val="0"/>
          <w:numId w:val="4"/>
        </w:numPr>
        <w:spacing w:after="0" w:line="240" w:lineRule="auto"/>
        <w:jc w:val="both"/>
        <w:rPr>
          <w:rFonts w:ascii="Times New Roman" w:hAnsi="Times New Roman" w:cs="Times New Roman"/>
          <w:sz w:val="24"/>
        </w:rPr>
      </w:pPr>
      <w:r w:rsidRPr="00F45491">
        <w:rPr>
          <w:rFonts w:ascii="Times New Roman" w:hAnsi="Times New Roman" w:cs="Times New Roman"/>
          <w:sz w:val="24"/>
        </w:rPr>
        <w:t xml:space="preserve">Mantém a fórmula de calculo do salário benefício, que rebaixará </w:t>
      </w:r>
      <w:r w:rsidR="008D08CB" w:rsidRPr="00F45491">
        <w:rPr>
          <w:rFonts w:ascii="Times New Roman" w:hAnsi="Times New Roman" w:cs="Times New Roman"/>
          <w:sz w:val="24"/>
        </w:rPr>
        <w:t xml:space="preserve">(arrochará) </w:t>
      </w:r>
      <w:r w:rsidRPr="00F45491">
        <w:rPr>
          <w:rFonts w:ascii="Times New Roman" w:hAnsi="Times New Roman" w:cs="Times New Roman"/>
          <w:sz w:val="24"/>
        </w:rPr>
        <w:t>o valor médio dos benefícios acentuadamente;</w:t>
      </w:r>
    </w:p>
    <w:p w:rsidR="00C66455" w:rsidRDefault="00C66455" w:rsidP="00C66455">
      <w:pPr>
        <w:pStyle w:val="PargrafodaLista"/>
        <w:numPr>
          <w:ilvl w:val="0"/>
          <w:numId w:val="4"/>
        </w:numPr>
        <w:spacing w:after="0" w:line="240" w:lineRule="auto"/>
        <w:jc w:val="both"/>
        <w:rPr>
          <w:rFonts w:ascii="Times New Roman" w:hAnsi="Times New Roman" w:cs="Times New Roman"/>
          <w:sz w:val="24"/>
        </w:rPr>
      </w:pPr>
      <w:r w:rsidRPr="00F45491">
        <w:rPr>
          <w:rFonts w:ascii="Times New Roman" w:hAnsi="Times New Roman" w:cs="Times New Roman"/>
          <w:sz w:val="24"/>
        </w:rPr>
        <w:t>Mantém o prazo das regras de transição (muito curto e já com a fórmula do salário benefício rebaixado)</w:t>
      </w:r>
      <w:r w:rsidR="001A0DB8">
        <w:rPr>
          <w:rFonts w:ascii="Times New Roman" w:hAnsi="Times New Roman" w:cs="Times New Roman"/>
          <w:sz w:val="24"/>
        </w:rPr>
        <w:t xml:space="preserve">, gerando frustração na expectativa de direito quanto </w:t>
      </w:r>
      <w:r w:rsidR="001A0DB8">
        <w:rPr>
          <w:rFonts w:ascii="Times New Roman" w:hAnsi="Times New Roman" w:cs="Times New Roman"/>
          <w:sz w:val="24"/>
        </w:rPr>
        <w:lastRenderedPageBreak/>
        <w:t>ao valor do benefício, além do que também</w:t>
      </w:r>
      <w:r w:rsidRPr="00F45491">
        <w:rPr>
          <w:rFonts w:ascii="Times New Roman" w:hAnsi="Times New Roman" w:cs="Times New Roman"/>
          <w:sz w:val="24"/>
        </w:rPr>
        <w:t xml:space="preserve"> não cria regras de transição para pensões;</w:t>
      </w:r>
    </w:p>
    <w:p w:rsidR="00F45491" w:rsidRPr="00F45491" w:rsidRDefault="00F45491" w:rsidP="00C66455">
      <w:pPr>
        <w:pStyle w:val="PargrafodaLista"/>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 xml:space="preserve">Mantém redução dos valores das pensões, somente garantindo o piso, assim como mantém o bloqueio à acumulação de benefícios (a maioria recebe </w:t>
      </w:r>
      <w:r w:rsidR="004A7D44">
        <w:rPr>
          <w:rFonts w:ascii="Times New Roman" w:hAnsi="Times New Roman" w:cs="Times New Roman"/>
          <w:sz w:val="24"/>
        </w:rPr>
        <w:t>um</w:t>
      </w:r>
      <w:r>
        <w:rPr>
          <w:rFonts w:ascii="Times New Roman" w:hAnsi="Times New Roman" w:cs="Times New Roman"/>
          <w:sz w:val="24"/>
        </w:rPr>
        <w:t xml:space="preserve"> SM de aposentadoria e </w:t>
      </w:r>
      <w:r w:rsidR="004A7D44">
        <w:rPr>
          <w:rFonts w:ascii="Times New Roman" w:hAnsi="Times New Roman" w:cs="Times New Roman"/>
          <w:sz w:val="24"/>
        </w:rPr>
        <w:t>um</w:t>
      </w:r>
      <w:r>
        <w:rPr>
          <w:rFonts w:ascii="Times New Roman" w:hAnsi="Times New Roman" w:cs="Times New Roman"/>
          <w:sz w:val="24"/>
        </w:rPr>
        <w:t xml:space="preserve"> SM de pensão);</w:t>
      </w:r>
    </w:p>
    <w:p w:rsidR="00F45491" w:rsidRDefault="00C66455" w:rsidP="00C66455">
      <w:pPr>
        <w:pStyle w:val="PargrafodaLista"/>
        <w:numPr>
          <w:ilvl w:val="0"/>
          <w:numId w:val="4"/>
        </w:numPr>
        <w:spacing w:after="0" w:line="240" w:lineRule="auto"/>
        <w:jc w:val="both"/>
        <w:rPr>
          <w:rFonts w:ascii="Times New Roman" w:hAnsi="Times New Roman" w:cs="Times New Roman"/>
          <w:sz w:val="24"/>
        </w:rPr>
      </w:pPr>
      <w:r w:rsidRPr="00F45491">
        <w:rPr>
          <w:rFonts w:ascii="Times New Roman" w:hAnsi="Times New Roman" w:cs="Times New Roman"/>
          <w:sz w:val="24"/>
        </w:rPr>
        <w:t xml:space="preserve">Mantém a segregação contábil da saúde, previdência e assistência social, rompendo com a noção constitucional de Seguridade Social, com </w:t>
      </w:r>
      <w:r w:rsidR="00F45491" w:rsidRPr="00F45491">
        <w:rPr>
          <w:rFonts w:ascii="Times New Roman" w:hAnsi="Times New Roman" w:cs="Times New Roman"/>
          <w:sz w:val="24"/>
        </w:rPr>
        <w:t>orçamento próprio e único</w:t>
      </w:r>
      <w:r w:rsidRPr="00F45491">
        <w:rPr>
          <w:rFonts w:ascii="Times New Roman" w:hAnsi="Times New Roman" w:cs="Times New Roman"/>
          <w:sz w:val="24"/>
        </w:rPr>
        <w:t>;</w:t>
      </w:r>
    </w:p>
    <w:p w:rsidR="00F45491" w:rsidRDefault="00C66455" w:rsidP="00F45491">
      <w:pPr>
        <w:pStyle w:val="PargrafodaLista"/>
        <w:numPr>
          <w:ilvl w:val="0"/>
          <w:numId w:val="4"/>
        </w:numPr>
        <w:spacing w:after="0" w:line="240" w:lineRule="auto"/>
        <w:jc w:val="both"/>
        <w:rPr>
          <w:rFonts w:ascii="Times New Roman" w:hAnsi="Times New Roman" w:cs="Times New Roman"/>
          <w:sz w:val="24"/>
        </w:rPr>
      </w:pPr>
      <w:r w:rsidRPr="00F45491">
        <w:rPr>
          <w:rFonts w:ascii="Times New Roman" w:hAnsi="Times New Roman" w:cs="Times New Roman"/>
          <w:sz w:val="24"/>
        </w:rPr>
        <w:t xml:space="preserve">A estratégia da “PEC paralela” pode se transformar em um guarda chuva de inclusão de inúmeros pontos prejudiciais ao trabalhador como, por exemplo, o </w:t>
      </w:r>
      <w:r w:rsidRPr="00F45491">
        <w:rPr>
          <w:rFonts w:ascii="Times New Roman" w:hAnsi="Times New Roman" w:cs="Times New Roman"/>
          <w:b/>
          <w:sz w:val="24"/>
        </w:rPr>
        <w:t>sistema de capitalização</w:t>
      </w:r>
      <w:r w:rsidRPr="00F45491">
        <w:rPr>
          <w:rFonts w:ascii="Times New Roman" w:hAnsi="Times New Roman" w:cs="Times New Roman"/>
          <w:sz w:val="24"/>
        </w:rPr>
        <w:t xml:space="preserve"> ou mesmo modificações na forma de financiamento do sistema;</w:t>
      </w:r>
    </w:p>
    <w:p w:rsidR="00F45491" w:rsidRDefault="00F45491" w:rsidP="00F45491">
      <w:pPr>
        <w:pStyle w:val="PargrafodaLista"/>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Mantém a desconstitucionalização das regras dos re</w:t>
      </w:r>
      <w:r w:rsidR="00DB5238">
        <w:rPr>
          <w:rFonts w:ascii="Times New Roman" w:hAnsi="Times New Roman" w:cs="Times New Roman"/>
          <w:sz w:val="24"/>
        </w:rPr>
        <w:t>gimes próprios, que passariam a ser</w:t>
      </w:r>
      <w:r>
        <w:rPr>
          <w:rFonts w:ascii="Times New Roman" w:hAnsi="Times New Roman" w:cs="Times New Roman"/>
          <w:sz w:val="24"/>
        </w:rPr>
        <w:t xml:space="preserve"> muito mais voláteis;</w:t>
      </w:r>
    </w:p>
    <w:p w:rsidR="00F45491" w:rsidRDefault="00F45491" w:rsidP="00F45491">
      <w:pPr>
        <w:pStyle w:val="PargrafodaLista"/>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Mantém o aumento da privatização do sistema através da possibilidade de atendimento de benefícios não programados, como os derivados de morte, invalidez, doença, acidentes de trabalho, entre outros;</w:t>
      </w:r>
    </w:p>
    <w:p w:rsidR="00F45491" w:rsidRDefault="00F45491" w:rsidP="00F45491">
      <w:pPr>
        <w:pStyle w:val="PargrafodaLista"/>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A possibilidade de instituição de cobranças extraordinárias, agora ampliadas para os estados e municípios, pode elevar acentuadamente a contribuição individual do trabalhador, para cobertura de desequilíbrios que muitas vezes podem ser erros de gestão de ativos, que poderiam ocorrer com a abertura dos regimes próprios à gestão privada;</w:t>
      </w:r>
    </w:p>
    <w:p w:rsidR="00F45491" w:rsidRDefault="00F45491" w:rsidP="001A0DB8">
      <w:pPr>
        <w:pStyle w:val="PargrafodaLista"/>
        <w:numPr>
          <w:ilvl w:val="0"/>
          <w:numId w:val="4"/>
        </w:numPr>
        <w:spacing w:after="0" w:line="240" w:lineRule="auto"/>
        <w:jc w:val="both"/>
        <w:rPr>
          <w:rFonts w:ascii="Times New Roman" w:hAnsi="Times New Roman" w:cs="Times New Roman"/>
          <w:sz w:val="24"/>
        </w:rPr>
      </w:pPr>
      <w:r w:rsidRPr="001A0DB8">
        <w:rPr>
          <w:rFonts w:ascii="Times New Roman" w:hAnsi="Times New Roman" w:cs="Times New Roman"/>
          <w:sz w:val="24"/>
        </w:rPr>
        <w:t xml:space="preserve">Mantém redução das regras de abono salarial (limitado a quem recebe R$ 1.364,43), excluindo mais </w:t>
      </w:r>
      <w:r w:rsidR="001A0DB8" w:rsidRPr="001A0DB8">
        <w:rPr>
          <w:rFonts w:ascii="Times New Roman" w:hAnsi="Times New Roman" w:cs="Times New Roman"/>
          <w:sz w:val="24"/>
        </w:rPr>
        <w:t xml:space="preserve">de </w:t>
      </w:r>
      <w:r w:rsidRPr="001A0DB8">
        <w:rPr>
          <w:rFonts w:ascii="Times New Roman" w:hAnsi="Times New Roman" w:cs="Times New Roman"/>
          <w:sz w:val="24"/>
        </w:rPr>
        <w:t>12 milhões</w:t>
      </w:r>
      <w:r w:rsidR="001A0DB8" w:rsidRPr="001A0DB8">
        <w:rPr>
          <w:rFonts w:ascii="Times New Roman" w:hAnsi="Times New Roman" w:cs="Times New Roman"/>
          <w:sz w:val="24"/>
        </w:rPr>
        <w:t xml:space="preserve"> (mais da metade) </w:t>
      </w:r>
      <w:r w:rsidRPr="001A0DB8">
        <w:rPr>
          <w:rFonts w:ascii="Times New Roman" w:hAnsi="Times New Roman" w:cs="Times New Roman"/>
          <w:sz w:val="24"/>
        </w:rPr>
        <w:t>do contingente de trabalhadores que tem direito pelas regras atuais;</w:t>
      </w:r>
    </w:p>
    <w:p w:rsidR="00F91276" w:rsidRDefault="00F91276" w:rsidP="00F91276">
      <w:pPr>
        <w:pStyle w:val="PargrafodaLista"/>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 xml:space="preserve">Apesar de não discutir a aposentadoria rural, conforme texto da câmara, não aborda o fato de que a grande mudança nesse tipo de benefício aconteceu a partir das modificações promovidas pela MP 871/2019, como a modificação das formas de comprovação do trabalho rural, excluindo as entidades sindicais, e o reconhecimento somente dos que estão cadastrados no </w:t>
      </w:r>
      <w:r w:rsidRPr="00F91276">
        <w:rPr>
          <w:rFonts w:ascii="Times New Roman" w:hAnsi="Times New Roman" w:cs="Times New Roman"/>
          <w:sz w:val="24"/>
        </w:rPr>
        <w:t>Cadastro N</w:t>
      </w:r>
      <w:r>
        <w:rPr>
          <w:rFonts w:ascii="Times New Roman" w:hAnsi="Times New Roman" w:cs="Times New Roman"/>
          <w:sz w:val="24"/>
        </w:rPr>
        <w:t>acional de Informações Sociais –</w:t>
      </w:r>
      <w:r w:rsidRPr="00F91276">
        <w:rPr>
          <w:rFonts w:ascii="Times New Roman" w:hAnsi="Times New Roman" w:cs="Times New Roman"/>
          <w:sz w:val="24"/>
        </w:rPr>
        <w:t xml:space="preserve"> </w:t>
      </w:r>
      <w:r>
        <w:rPr>
          <w:rFonts w:ascii="Times New Roman" w:hAnsi="Times New Roman" w:cs="Times New Roman"/>
          <w:sz w:val="24"/>
        </w:rPr>
        <w:t>CNIS Rural ou comprovação de recolhimento previdenciário sobre a venda de produtos, o que não se trata de algo trivial para os trabalhadores do campo e que tende a dificultar ainda mais a obtenção de aposentadorias</w:t>
      </w:r>
      <w:r w:rsidR="00ED6FC0">
        <w:rPr>
          <w:rFonts w:ascii="Times New Roman" w:hAnsi="Times New Roman" w:cs="Times New Roman"/>
          <w:sz w:val="24"/>
        </w:rPr>
        <w:t>;</w:t>
      </w:r>
    </w:p>
    <w:p w:rsidR="00ED6FC0" w:rsidRPr="00F91276" w:rsidRDefault="00ED6FC0" w:rsidP="00F91276">
      <w:pPr>
        <w:pStyle w:val="PargrafodaLista"/>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A MP 881/2019 (“Liberdade econômica”) atenta contra a recuperação de débitos, inclusive previdenciários</w:t>
      </w:r>
      <w:r w:rsidR="00FA2539">
        <w:rPr>
          <w:rFonts w:ascii="Times New Roman" w:hAnsi="Times New Roman" w:cs="Times New Roman"/>
          <w:sz w:val="24"/>
        </w:rPr>
        <w:t>, conflitando-se com desejo de redução e extinção de dívidas e sonegações previdenciárias</w:t>
      </w:r>
      <w:r w:rsidR="00ED07C8">
        <w:rPr>
          <w:rFonts w:ascii="Times New Roman" w:hAnsi="Times New Roman" w:cs="Times New Roman"/>
          <w:sz w:val="24"/>
        </w:rPr>
        <w:t xml:space="preserve">. Senado deveria incluir algum dispositivo sobre </w:t>
      </w:r>
      <w:r w:rsidR="002D5F99">
        <w:rPr>
          <w:rFonts w:ascii="Times New Roman" w:hAnsi="Times New Roman" w:cs="Times New Roman"/>
          <w:sz w:val="24"/>
        </w:rPr>
        <w:t>o maior rigor a este tipo de débito, colocando que esta MP não teria efeito neste caso, por exemplo</w:t>
      </w:r>
      <w:r w:rsidR="00ED07C8">
        <w:rPr>
          <w:rFonts w:ascii="Times New Roman" w:hAnsi="Times New Roman" w:cs="Times New Roman"/>
          <w:sz w:val="24"/>
        </w:rPr>
        <w:t>;</w:t>
      </w:r>
    </w:p>
    <w:sectPr w:rsidR="00ED6FC0" w:rsidRPr="00F91276" w:rsidSect="007009B0">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FC0" w:rsidRDefault="00ED6FC0" w:rsidP="008F2C2B">
      <w:pPr>
        <w:spacing w:after="0" w:line="240" w:lineRule="auto"/>
      </w:pPr>
      <w:r>
        <w:separator/>
      </w:r>
    </w:p>
  </w:endnote>
  <w:endnote w:type="continuationSeparator" w:id="0">
    <w:p w:rsidR="00ED6FC0" w:rsidRDefault="00ED6FC0" w:rsidP="008F2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851422"/>
      <w:docPartObj>
        <w:docPartGallery w:val="Page Numbers (Bottom of Page)"/>
        <w:docPartUnique/>
      </w:docPartObj>
    </w:sdtPr>
    <w:sdtContent>
      <w:p w:rsidR="00ED6FC0" w:rsidRDefault="00ED6FC0">
        <w:pPr>
          <w:pStyle w:val="Rodap"/>
          <w:jc w:val="right"/>
        </w:pPr>
        <w:fldSimple w:instr=" PAGE   \* MERGEFORMAT ">
          <w:r w:rsidR="002D5F99">
            <w:rPr>
              <w:noProof/>
            </w:rPr>
            <w:t>3</w:t>
          </w:r>
        </w:fldSimple>
      </w:p>
    </w:sdtContent>
  </w:sdt>
  <w:p w:rsidR="00ED6FC0" w:rsidRDefault="00ED6FC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FC0" w:rsidRDefault="00ED6FC0" w:rsidP="008F2C2B">
      <w:pPr>
        <w:spacing w:after="0" w:line="240" w:lineRule="auto"/>
      </w:pPr>
      <w:r>
        <w:separator/>
      </w:r>
    </w:p>
  </w:footnote>
  <w:footnote w:type="continuationSeparator" w:id="0">
    <w:p w:rsidR="00ED6FC0" w:rsidRDefault="00ED6FC0" w:rsidP="008F2C2B">
      <w:pPr>
        <w:spacing w:after="0" w:line="240" w:lineRule="auto"/>
      </w:pPr>
      <w:r>
        <w:continuationSeparator/>
      </w:r>
    </w:p>
  </w:footnote>
  <w:footnote w:id="1">
    <w:p w:rsidR="00ED6FC0" w:rsidRDefault="00ED6FC0" w:rsidP="000A6B2D">
      <w:pPr>
        <w:pStyle w:val="Textodenotaderodap"/>
        <w:jc w:val="both"/>
      </w:pPr>
      <w:r>
        <w:rPr>
          <w:rStyle w:val="Refdenotaderodap"/>
        </w:rPr>
        <w:footnoteRef/>
      </w:r>
      <w:r>
        <w:t xml:space="preserve"> Produzido a partir do relatório produzido pelo senador Tasso Jereissati (PSDB-CE), disponível em: </w:t>
      </w:r>
      <w:hyperlink r:id="rId1" w:history="1">
        <w:r>
          <w:rPr>
            <w:rStyle w:val="Hyperlink"/>
          </w:rPr>
          <w:t>https://legis.senado.leg.br/sdleg-getter/documento?dm=7997351&amp;ts=1566949472373&amp;disposition=inline</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807AA"/>
    <w:multiLevelType w:val="hybridMultilevel"/>
    <w:tmpl w:val="499A1F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A09479C"/>
    <w:multiLevelType w:val="hybridMultilevel"/>
    <w:tmpl w:val="C5E8D5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1464327"/>
    <w:multiLevelType w:val="hybridMultilevel"/>
    <w:tmpl w:val="FE1044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4663099"/>
    <w:multiLevelType w:val="hybridMultilevel"/>
    <w:tmpl w:val="1E3065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038E1"/>
    <w:rsid w:val="000A6B2D"/>
    <w:rsid w:val="001A0DB8"/>
    <w:rsid w:val="001D2B2A"/>
    <w:rsid w:val="002D5F99"/>
    <w:rsid w:val="0038363E"/>
    <w:rsid w:val="003F70D1"/>
    <w:rsid w:val="00496156"/>
    <w:rsid w:val="004A7D44"/>
    <w:rsid w:val="00574951"/>
    <w:rsid w:val="005A247D"/>
    <w:rsid w:val="007009B0"/>
    <w:rsid w:val="00710F6C"/>
    <w:rsid w:val="008D08CB"/>
    <w:rsid w:val="008F2C2B"/>
    <w:rsid w:val="009E1500"/>
    <w:rsid w:val="00AA4A84"/>
    <w:rsid w:val="00B038E1"/>
    <w:rsid w:val="00C46027"/>
    <w:rsid w:val="00C66455"/>
    <w:rsid w:val="00D70BDF"/>
    <w:rsid w:val="00DB5238"/>
    <w:rsid w:val="00ED07C8"/>
    <w:rsid w:val="00ED6FC0"/>
    <w:rsid w:val="00F45491"/>
    <w:rsid w:val="00F91276"/>
    <w:rsid w:val="00FA253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9B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038E1"/>
    <w:pPr>
      <w:ind w:left="720"/>
      <w:contextualSpacing/>
    </w:pPr>
  </w:style>
  <w:style w:type="paragraph" w:styleId="Cabealho">
    <w:name w:val="header"/>
    <w:basedOn w:val="Normal"/>
    <w:link w:val="CabealhoChar"/>
    <w:uiPriority w:val="99"/>
    <w:semiHidden/>
    <w:unhideWhenUsed/>
    <w:rsid w:val="008F2C2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F2C2B"/>
  </w:style>
  <w:style w:type="paragraph" w:styleId="Rodap">
    <w:name w:val="footer"/>
    <w:basedOn w:val="Normal"/>
    <w:link w:val="RodapChar"/>
    <w:uiPriority w:val="99"/>
    <w:unhideWhenUsed/>
    <w:rsid w:val="008F2C2B"/>
    <w:pPr>
      <w:tabs>
        <w:tab w:val="center" w:pos="4252"/>
        <w:tab w:val="right" w:pos="8504"/>
      </w:tabs>
      <w:spacing w:after="0" w:line="240" w:lineRule="auto"/>
    </w:pPr>
  </w:style>
  <w:style w:type="character" w:customStyle="1" w:styleId="RodapChar">
    <w:name w:val="Rodapé Char"/>
    <w:basedOn w:val="Fontepargpadro"/>
    <w:link w:val="Rodap"/>
    <w:uiPriority w:val="99"/>
    <w:rsid w:val="008F2C2B"/>
  </w:style>
  <w:style w:type="paragraph" w:styleId="Textodenotaderodap">
    <w:name w:val="footnote text"/>
    <w:basedOn w:val="Normal"/>
    <w:link w:val="TextodenotaderodapChar"/>
    <w:uiPriority w:val="99"/>
    <w:semiHidden/>
    <w:unhideWhenUsed/>
    <w:rsid w:val="000A6B2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A6B2D"/>
    <w:rPr>
      <w:sz w:val="20"/>
      <w:szCs w:val="20"/>
    </w:rPr>
  </w:style>
  <w:style w:type="character" w:styleId="Refdenotaderodap">
    <w:name w:val="footnote reference"/>
    <w:basedOn w:val="Fontepargpadro"/>
    <w:uiPriority w:val="99"/>
    <w:semiHidden/>
    <w:unhideWhenUsed/>
    <w:rsid w:val="000A6B2D"/>
    <w:rPr>
      <w:vertAlign w:val="superscript"/>
    </w:rPr>
  </w:style>
  <w:style w:type="character" w:styleId="Hyperlink">
    <w:name w:val="Hyperlink"/>
    <w:basedOn w:val="Fontepargpadro"/>
    <w:uiPriority w:val="99"/>
    <w:semiHidden/>
    <w:unhideWhenUsed/>
    <w:rsid w:val="00AA4A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egis.senado.leg.br/sdleg-getter/documento?dm=7997351&amp;ts=1566949472373&amp;disposition=inlin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00F30-DF0B-431C-8CFD-D6B8D92EE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1394</Words>
  <Characters>7531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leandro.dieese</dc:creator>
  <cp:lastModifiedBy>leandro.dieese</cp:lastModifiedBy>
  <cp:revision>16</cp:revision>
  <dcterms:created xsi:type="dcterms:W3CDTF">2019-08-28T11:05:00Z</dcterms:created>
  <dcterms:modified xsi:type="dcterms:W3CDTF">2019-08-28T12:58:00Z</dcterms:modified>
</cp:coreProperties>
</file>